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A9" w:rsidRPr="0060653A" w:rsidRDefault="009C72A9" w:rsidP="0060653A">
      <w:pPr>
        <w:rPr>
          <w:b/>
          <w:bCs/>
        </w:rPr>
      </w:pPr>
      <w:r w:rsidRPr="0060653A">
        <w:rPr>
          <w:b/>
          <w:bCs/>
        </w:rPr>
        <w:t>Penale Sent. Sez. 3 Num. 37659 Anno 2019</w:t>
      </w:r>
    </w:p>
    <w:p w:rsidR="009C72A9" w:rsidRPr="0060653A" w:rsidRDefault="009C72A9" w:rsidP="0060653A">
      <w:pPr>
        <w:rPr>
          <w:b/>
          <w:bCs/>
        </w:rPr>
      </w:pPr>
      <w:r w:rsidRPr="0060653A">
        <w:rPr>
          <w:b/>
          <w:bCs/>
        </w:rPr>
        <w:t xml:space="preserve">Presidente: </w:t>
      </w:r>
      <w:r w:rsidR="00637EB0" w:rsidRPr="0060653A">
        <w:rPr>
          <w:b/>
          <w:bCs/>
        </w:rPr>
        <w:t>XXXXXXXXXXX</w:t>
      </w:r>
    </w:p>
    <w:p w:rsidR="009C72A9" w:rsidRPr="0060653A" w:rsidRDefault="009C72A9" w:rsidP="0060653A">
      <w:pPr>
        <w:rPr>
          <w:b/>
          <w:bCs/>
        </w:rPr>
      </w:pPr>
      <w:r w:rsidRPr="0060653A">
        <w:rPr>
          <w:b/>
          <w:bCs/>
        </w:rPr>
        <w:t xml:space="preserve">Relatore: </w:t>
      </w:r>
      <w:r w:rsidR="00637EB0" w:rsidRPr="0060653A">
        <w:rPr>
          <w:b/>
          <w:bCs/>
        </w:rPr>
        <w:t>XXXXXXXXXX</w:t>
      </w:r>
    </w:p>
    <w:p w:rsidR="009C72A9" w:rsidRPr="0060653A" w:rsidRDefault="009C72A9" w:rsidP="0060653A">
      <w:pPr>
        <w:rPr>
          <w:b/>
          <w:bCs/>
        </w:rPr>
      </w:pPr>
      <w:r w:rsidRPr="0060653A">
        <w:rPr>
          <w:b/>
          <w:bCs/>
        </w:rPr>
        <w:t>Data Udienza: 05/03/2019</w:t>
      </w:r>
    </w:p>
    <w:p w:rsidR="009C72A9" w:rsidRPr="0060653A" w:rsidRDefault="009C72A9" w:rsidP="00637EB0">
      <w:pPr>
        <w:jc w:val="center"/>
        <w:rPr>
          <w:b/>
          <w:bCs/>
        </w:rPr>
      </w:pPr>
      <w:r w:rsidRPr="0060653A">
        <w:rPr>
          <w:b/>
          <w:bCs/>
        </w:rPr>
        <w:t>SENTENZA</w:t>
      </w:r>
    </w:p>
    <w:p w:rsidR="009C72A9" w:rsidRDefault="009C72A9" w:rsidP="009C72A9">
      <w:r>
        <w:t>sui ricorsi proposti da:</w:t>
      </w:r>
    </w:p>
    <w:p w:rsidR="009C72A9" w:rsidRDefault="00637EB0" w:rsidP="009C72A9">
      <w:r>
        <w:t>XXXXXXXXXXXX</w:t>
      </w:r>
      <w:r w:rsidR="009C72A9">
        <w:t xml:space="preserve"> nato a </w:t>
      </w:r>
      <w:r>
        <w:t>XXXXXXXXXXXX</w:t>
      </w:r>
      <w:r w:rsidR="009C72A9">
        <w:t xml:space="preserve"> </w:t>
      </w:r>
      <w:r>
        <w:t>XXXXXXXXX</w:t>
      </w:r>
    </w:p>
    <w:p w:rsidR="009C72A9" w:rsidRDefault="00637EB0" w:rsidP="009C72A9">
      <w:r>
        <w:t>XXXXXXXXX</w:t>
      </w:r>
      <w:r w:rsidR="009C72A9">
        <w:t xml:space="preserve"> nato a </w:t>
      </w:r>
      <w:r>
        <w:t>XXXXXXX</w:t>
      </w:r>
      <w:r w:rsidR="009C72A9">
        <w:t xml:space="preserve"> </w:t>
      </w:r>
      <w:r>
        <w:t>XXXXXXXXX</w:t>
      </w:r>
    </w:p>
    <w:p w:rsidR="0060653A" w:rsidRDefault="0060653A" w:rsidP="009C72A9"/>
    <w:p w:rsidR="009C72A9" w:rsidRDefault="009C72A9" w:rsidP="009C72A9">
      <w:r>
        <w:t xml:space="preserve">avverso l'ordinanza del 04/04/2018 del </w:t>
      </w:r>
      <w:proofErr w:type="gramStart"/>
      <w:r>
        <w:t>TRIB.SEZ.DIST.</w:t>
      </w:r>
      <w:proofErr w:type="gramEnd"/>
      <w:r w:rsidR="0076362D">
        <w:t xml:space="preserve"> </w:t>
      </w:r>
      <w:r>
        <w:t>di ISCHIA</w:t>
      </w:r>
    </w:p>
    <w:p w:rsidR="009C72A9" w:rsidRDefault="009C72A9" w:rsidP="009C72A9">
      <w:r>
        <w:t>udita la relazione svolta dal Consigliere ANGELO MATTEO SOCCI;</w:t>
      </w:r>
    </w:p>
    <w:p w:rsidR="009C72A9" w:rsidRDefault="009C72A9" w:rsidP="009C72A9">
      <w:r>
        <w:t>lette le conclusioni del PG, Simone Perelli: "Inammissibilità del ricorso".</w:t>
      </w:r>
    </w:p>
    <w:p w:rsidR="009C72A9" w:rsidRDefault="009C72A9" w:rsidP="00606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RITENUTO IN FATTO</w:t>
      </w:r>
    </w:p>
    <w:p w:rsidR="009C72A9" w:rsidRPr="0060653A" w:rsidRDefault="0060653A" w:rsidP="00606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>Il Tribunale di Napoli (Sezione distaccata di Ischia), in funzione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>di giudice dell'esecuzione, con ordinanza del 4 aprile 2018 ha respinto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l'istanza 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>XXXXXXXXXXXXXX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diretta ad ottenere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>la revoca o la sospensione dell'ordine di demolizione, emesso dalla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>Procura della Repubblica di Napoli, delle opere abusive di cui alla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sentenza di condanna del Tribunale di </w:t>
      </w:r>
      <w:proofErr w:type="gramStart"/>
      <w:r w:rsidR="009C72A9" w:rsidRPr="0060653A">
        <w:rPr>
          <w:rFonts w:ascii="Arial" w:hAnsi="Arial" w:cs="Arial"/>
          <w:color w:val="000000"/>
          <w:sz w:val="21"/>
          <w:szCs w:val="21"/>
        </w:rPr>
        <w:t>Napoli ,</w:t>
      </w:r>
      <w:proofErr w:type="gramEnd"/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Sezione distaccata di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 xml:space="preserve"> </w:t>
      </w:r>
      <w:r w:rsidR="009C72A9" w:rsidRPr="0060653A">
        <w:rPr>
          <w:rFonts w:ascii="Arial" w:hAnsi="Arial" w:cs="Arial"/>
          <w:color w:val="000000"/>
          <w:sz w:val="21"/>
          <w:szCs w:val="21"/>
        </w:rPr>
        <w:t>Ischia, del 7 ottobre 1998.</w:t>
      </w:r>
    </w:p>
    <w:p w:rsidR="0060653A" w:rsidRPr="0060653A" w:rsidRDefault="0060653A" w:rsidP="0060653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>
        <w:rPr>
          <w:rFonts w:ascii="Arial" w:hAnsi="Arial" w:cs="Arial"/>
          <w:color w:val="000000"/>
          <w:sz w:val="21"/>
          <w:szCs w:val="21"/>
        </w:rPr>
        <w:t>XXXXXXXXXXXXX</w:t>
      </w:r>
      <w:r>
        <w:rPr>
          <w:rFonts w:ascii="Arial" w:hAnsi="Arial" w:cs="Arial"/>
          <w:color w:val="000000"/>
          <w:sz w:val="21"/>
          <w:szCs w:val="21"/>
        </w:rPr>
        <w:t xml:space="preserve"> hanno proposto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ricorso per cassazione, tramite il difensore, per i motivi di seguito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enunciati, nei limiti strettamente necessari per la motivazione, come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disposto dall'art 173, comma 1, disp. att., cod. proc. pen.</w:t>
      </w:r>
    </w:p>
    <w:p w:rsidR="0060653A" w:rsidRDefault="0060653A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1. Violazione di legge (art. 39, legge n. 724 del 1994 e 51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legge n. 47 del 1995); illogicità manifesta della motivazione 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travisamento del fatto.</w:t>
      </w:r>
    </w:p>
    <w:p w:rsidR="0060653A" w:rsidRDefault="0060653A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data 27 febbraio 1995, prot. N. 2090, ai sensi dell'art. 39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legge n. 724 del 1994 i ricorrenti hanno presentato una pratica di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condono edilizio; condono, poi, assentito con provvedimento del Comune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previo parere favorevole di compatibilità paesaggistica della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Soprintendenza BAPPSAE di Napoli - il 10 maggio 2017, prot. N. 7077.</w:t>
      </w:r>
    </w:p>
    <w:p w:rsidR="0060653A" w:rsidRDefault="0060653A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Tribunale ha confuso il condono edilizio con la sanatoria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(accertamento di conformità) tanto che richiama il requisito della doppia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conformità richiesto per la sanatoria ex art. 36, d.P.R. 380/2001, ma non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per il condono edilizio in oggetto.</w:t>
      </w:r>
    </w:p>
    <w:p w:rsidR="0060653A" w:rsidRDefault="0060653A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Tribunale poi incorre anche in un altro errore per aver ritenuto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(senza motivazione e contro le evidenze documentali) la non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corrispondenza dell'immobile condonato a quello di cui all'ordine di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demolizione della sentenza di condanna del Tribunale di Napoli, Sezione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distaccata di Ischia, del 7 ottobre 1998.</w:t>
      </w:r>
    </w:p>
    <w:p w:rsidR="00CA0C20" w:rsidRDefault="00CA0C20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 superfici da riportare nella pratica di condono edilizio sono,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infatti, quelle nette (con esclusione delle superfici occupate dai muri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esterni ed interni), superfici utili - art. 51, legge n. 47 del 1985 e d.M. 10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maggio del 1977 n. 801 -; negli accertamenti della P.G. e nell'indicazione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delle sentenze invece viene indicata la superficie lorda (comprensive dei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muri). Il fabbricato condonato con superficie utile di 80 mq è esattamente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quello di cui all'ordine di demolizione, indicato con la superficie lorda di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96, mq. 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Questo emergeva nella stessa relazione tecnica allegata agli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elaborati della pratica di condono.</w:t>
      </w:r>
    </w:p>
    <w:p w:rsidR="00AA0C19" w:rsidRDefault="00AA0C1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Illegittimo, e del tutto fuori luogo, anche il richiamo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dell'ordinanza impugnata all'assenza di prova dell'esistenza di una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delibera del Comune di Ischia che abbia dichiarato la conformità del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manufatto agli interessi pubblici. Il Comune dove è sito l'immobile è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quello di </w:t>
      </w:r>
      <w:r>
        <w:rPr>
          <w:rFonts w:ascii="Arial" w:hAnsi="Arial" w:cs="Arial"/>
          <w:color w:val="000000"/>
          <w:sz w:val="21"/>
          <w:szCs w:val="21"/>
        </w:rPr>
        <w:t>XXXXXX</w:t>
      </w:r>
      <w:r>
        <w:rPr>
          <w:rFonts w:ascii="Arial" w:hAnsi="Arial" w:cs="Arial"/>
          <w:color w:val="000000"/>
          <w:sz w:val="21"/>
          <w:szCs w:val="21"/>
        </w:rPr>
        <w:t xml:space="preserve"> d'Ischia e non quello dì Ischia, e la dichiarazione di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conformità del manufatto con gli interessi pubblici è prevista per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l'acquisizione dell'opera al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patrimonio del Comune e non anche per il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condono.</w:t>
      </w:r>
    </w:p>
    <w:p w:rsidR="00CA0C20" w:rsidRDefault="00CA0C20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complesso ragionamento dell'ordinanza impugnata deve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ritenersi, quindi, viziato, disarticolato e manifestamente illogico.</w:t>
      </w:r>
    </w:p>
    <w:p w:rsidR="00CA0C20" w:rsidRDefault="00CA0C20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Hanno chiesto pertanto l'annullamento dell'ordinanza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impugnata.</w:t>
      </w:r>
    </w:p>
    <w:p w:rsidR="00CA0C20" w:rsidRDefault="00CA0C20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La Procura Generale della Corte di Cassazione ha chiesto di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dichiararsi inammissibile il ricorso.</w:t>
      </w:r>
    </w:p>
    <w:p w:rsidR="00CA0C20" w:rsidRDefault="00CA0C20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Con successiva memoria i ricorrenti hanno proposto un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motivo nuovo, rilevando che non solo dalla citata relazione allegata alla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pratica del condono emergeva la coincidenza dell'immobile condonato con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quello della sentenza di condanna e dell'ordine di demolizione, ma anche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dall'attestazione del Dirigente dell'U.T.C. del 1dicembre 2017 dove si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evidenziava chiaramente che per le opere sanzionate con l'ingiunzione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R.E.S.A. n. 197/2003 è stato rilasciato permesso a costruire in sanatoria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n. 39 del 20 settembre 2017 relativo all'istanza di condono edilizio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presentata il data 27 febbraio 1995.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Illegittima l'ordinanza del Tribunale, quindi, per aver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sbrigativamente ritenuto la non coincidenza degli immobili, quello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condonato e quello oggetto dell'ordine di demolizione, in contrasto con le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prove documentali in atti.</w:t>
      </w:r>
    </w:p>
    <w:p w:rsidR="005C5B4F" w:rsidRDefault="005C5B4F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22C00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Con successiva memoria di replica i ricorrenti hanno ribadito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la fondatezza dei ricorsi e rilevato come in un caso analogo la Cassazione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ha pronunciato sentenza di annullamento con rinvio (Cassazione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Sez. 3,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del 21 febbraio 2019, proc. n. 43445/2019, ricorrente </w:t>
      </w:r>
      <w:r w:rsidR="00122C00">
        <w:rPr>
          <w:rFonts w:ascii="Arial" w:hAnsi="Arial" w:cs="Arial"/>
          <w:color w:val="000000"/>
          <w:sz w:val="21"/>
          <w:szCs w:val="21"/>
        </w:rPr>
        <w:t>XXXXXXX XXXXXXX</w:t>
      </w:r>
      <w:r>
        <w:rPr>
          <w:rFonts w:ascii="Arial" w:hAnsi="Arial" w:cs="Arial"/>
          <w:color w:val="000000"/>
          <w:sz w:val="21"/>
          <w:szCs w:val="21"/>
        </w:rPr>
        <w:t xml:space="preserve">). 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Ribadivano inoltre la corrispondenza dell'immobile condonato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con quello oggetto di demolizione, come emerge dalla documentazione in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atti.</w:t>
      </w:r>
    </w:p>
    <w:p w:rsidR="005C5B4F" w:rsidRDefault="005C5B4F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122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CONSIDERATO IN DIRITTO</w:t>
      </w:r>
    </w:p>
    <w:p w:rsidR="005C5B4F" w:rsidRDefault="005C5B4F" w:rsidP="00122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Il ricorso è fondato e l'ordinanza deve annullarsi con rinvio al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Tribunale di Napoli, per nuovo esame.</w:t>
      </w:r>
    </w:p>
    <w:p w:rsidR="005C5B4F" w:rsidRDefault="005C5B4F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L'ordinanza in oggetto ritiene la non corrispondenza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dell'immobile oggetto del condono edilizio a quello di cui è ordinata la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demolizione con la sentenza del Tribunale di Napoli, Sezione distaccata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di Ischia, del 7 ottobre 1998 in maniera solo assertiva senza adeguata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valutazione della documentazione in atti.</w:t>
      </w:r>
    </w:p>
    <w:p w:rsidR="007D2631" w:rsidRDefault="007D2631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22C00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Inoltre il Tribunale ritiene impossibile l'accertamento della c.d.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doppia conformità edilizia ed urbanistica, in quanto «nulla è stato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riportato, in tal senso, nel titolo abilitativo in sanatoria n. 39 del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20.9.2017».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doppia conformità è requisito per la sanatoria ex art. 36,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d.P.R. 380 del 2001, ma non del condono ai sensi dell'art. 39 legge n.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724 del 1994: «In </w:t>
      </w:r>
      <w:r>
        <w:rPr>
          <w:rFonts w:ascii="Arial" w:hAnsi="Arial" w:cs="Arial"/>
          <w:color w:val="000000"/>
          <w:sz w:val="21"/>
          <w:szCs w:val="21"/>
        </w:rPr>
        <w:t>tema di reati urbanistici, la sanatoria degli abusi edilizi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idonea ad estinguere il reato di cui all'art. 44 del d.P.R. n. 380 del 2001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può essere conseguita solo qualora ricorrano tutte le condizioni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espressamente indicate dall'art. 36 d.P.R. cit. e, precisamente, la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conformità delle opere alla disciplina urbanistica vigente sia al momento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della realizzazione del manufatto che al momento della presentazione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della domanda di sanatoria, dovendo escludersi la possibilità di una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legittimazione postuma di opere originariamente abusive che,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successivamente, siano divenute conformi alle norme edilizie ovvero agli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strumenti di pianificazione urbanistica. -Fattispecie relativa ad illegittimo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rilascio di un permesso di costruire in sanatoria rilasciato per intervento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eseguito su particella catastale alla quale, successivamente all'abuso, era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stata asservita altra particella al fine di superare il limite di cubatura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stabilito dalle previsioni</w:t>
      </w:r>
      <w:r w:rsidR="00122C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urbanistiche-» (Sez. 3, n. 7405 del 15/01/2015 -</w:t>
      </w:r>
      <w:r w:rsidR="00122C0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dep. 19/02/2015, Bonarota, Rv. 26242201).</w:t>
      </w:r>
    </w:p>
    <w:p w:rsidR="007D2631" w:rsidRPr="00122C00" w:rsidRDefault="007D2631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D2631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il condono edilizio, invece, a differenza di quanto previsto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 la cosiddetta sanatoria edilizia di cui all'art. 36 d.P.R. 6 giugno 2001,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n. 380, non è richiesto che l'opera abusivamente realizzata sia conforme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agli strumenti urbanistici vigenti al momento del rilascio del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provvedimento ed a quelli vigenti al momento della sua realizzazione -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requisito della "doppia conformità" - (Sez. 3, n. 42526 del 21/10/2008 -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dep. 14/11/2008, P.M. in proc. Palombo, Rv. 24154101).</w:t>
      </w:r>
      <w:r w:rsidR="0040572C">
        <w:rPr>
          <w:rFonts w:ascii="Arial" w:hAnsi="Arial" w:cs="Arial"/>
          <w:color w:val="000000"/>
        </w:rPr>
        <w:t xml:space="preserve"> </w:t>
      </w: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relazione ai profili indica</w:t>
      </w:r>
      <w:r w:rsidR="007D2631"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</w:rPr>
        <w:t>si impone dunque un nuovo esame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parte del Tribunale.</w:t>
      </w:r>
    </w:p>
    <w:p w:rsidR="007D2631" w:rsidRDefault="007D2631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2A9" w:rsidRDefault="009C72A9" w:rsidP="00405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P.Q.M.</w:t>
      </w:r>
    </w:p>
    <w:p w:rsidR="007D2631" w:rsidRDefault="007D2631" w:rsidP="00405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C72A9" w:rsidRDefault="009C72A9" w:rsidP="009C7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Annulla l'ordinanza impugnata e rinvia per nuovo esame al</w:t>
      </w:r>
      <w:r w:rsidR="004057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Tribunale di Napoli.</w:t>
      </w:r>
    </w:p>
    <w:p w:rsidR="007D2631" w:rsidRDefault="007D2631" w:rsidP="007C0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C0426" w:rsidRDefault="009C72A9" w:rsidP="007D2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Così deciso il 5/03/2019</w:t>
      </w:r>
    </w:p>
    <w:p w:rsidR="007D2631" w:rsidRDefault="007D2631" w:rsidP="007C0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C72A9" w:rsidRDefault="009C72A9" w:rsidP="007C0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Consigliere estensore</w:t>
      </w:r>
      <w:r w:rsidR="007D2631">
        <w:rPr>
          <w:rFonts w:ascii="Arial" w:hAnsi="Arial" w:cs="Arial"/>
          <w:color w:val="000000"/>
        </w:rPr>
        <w:t xml:space="preserve">                                                                             Il Presidente</w:t>
      </w:r>
    </w:p>
    <w:p w:rsidR="009C72A9" w:rsidRDefault="0040572C" w:rsidP="007C0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XXXXXXXXX</w:t>
      </w:r>
      <w:r w:rsidR="007D2631">
        <w:rPr>
          <w:rFonts w:ascii="Arial" w:hAnsi="Arial" w:cs="Arial"/>
          <w:color w:val="000000"/>
        </w:rPr>
        <w:t xml:space="preserve">                                                                                              XXXXXXXX</w:t>
      </w:r>
    </w:p>
    <w:sectPr w:rsidR="009C7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835"/>
    <w:multiLevelType w:val="hybridMultilevel"/>
    <w:tmpl w:val="A8AC44F8"/>
    <w:lvl w:ilvl="0" w:tplc="59184AF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9"/>
    <w:rsid w:val="00122C00"/>
    <w:rsid w:val="0040572C"/>
    <w:rsid w:val="005A607F"/>
    <w:rsid w:val="005B11B4"/>
    <w:rsid w:val="005C5B4F"/>
    <w:rsid w:val="0060653A"/>
    <w:rsid w:val="00637EB0"/>
    <w:rsid w:val="0076362D"/>
    <w:rsid w:val="0078316B"/>
    <w:rsid w:val="007C0426"/>
    <w:rsid w:val="007D2631"/>
    <w:rsid w:val="007F467A"/>
    <w:rsid w:val="009C72A9"/>
    <w:rsid w:val="00AA0C19"/>
    <w:rsid w:val="00C37E3F"/>
    <w:rsid w:val="00C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554B"/>
  <w15:chartTrackingRefBased/>
  <w15:docId w15:val="{095EB206-D88C-4352-9C92-167409C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Giuseppe Giannini</dc:creator>
  <cp:keywords/>
  <dc:description/>
  <cp:lastModifiedBy>Paolo Giuseppe Giannini</cp:lastModifiedBy>
  <cp:revision>16</cp:revision>
  <dcterms:created xsi:type="dcterms:W3CDTF">2019-12-20T12:46:00Z</dcterms:created>
  <dcterms:modified xsi:type="dcterms:W3CDTF">2019-12-20T14:09:00Z</dcterms:modified>
</cp:coreProperties>
</file>